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5400" w14:textId="23DBDC9C" w:rsidR="00091960" w:rsidRPr="00091960" w:rsidRDefault="00091960" w:rsidP="00091960">
      <w:pPr>
        <w:ind w:right="141"/>
        <w:rPr>
          <w:rFonts w:ascii="Arial" w:hAnsi="Arial" w:cs="Arial"/>
          <w:sz w:val="40"/>
          <w:szCs w:val="40"/>
          <w:lang w:val="fr-FR"/>
        </w:rPr>
      </w:pPr>
      <w:bookmarkStart w:id="0" w:name="_Hlk524358910"/>
      <w:r w:rsidRPr="00091960">
        <w:rPr>
          <w:lang w:val="fr-FR"/>
        </w:rPr>
        <w:drawing>
          <wp:anchor distT="0" distB="0" distL="114300" distR="114300" simplePos="0" relativeHeight="251659264" behindDoc="0" locked="0" layoutInCell="1" allowOverlap="1" wp14:anchorId="4A7696F7" wp14:editId="20CC9C4C">
            <wp:simplePos x="0" y="0"/>
            <wp:positionH relativeFrom="column">
              <wp:posOffset>4213860</wp:posOffset>
            </wp:positionH>
            <wp:positionV relativeFrom="paragraph">
              <wp:posOffset>-68741</wp:posOffset>
            </wp:positionV>
            <wp:extent cx="2088000" cy="1188787"/>
            <wp:effectExtent l="0" t="0" r="7620" b="0"/>
            <wp:wrapNone/>
            <wp:docPr id="2382292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29236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18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960">
        <w:rPr>
          <w:rFonts w:ascii="Arial" w:hAnsi="Arial" w:cs="Arial"/>
          <w:sz w:val="40"/>
          <w:szCs w:val="40"/>
          <w:lang w:val="fr-FR"/>
        </w:rPr>
        <w:t>TUBE RADIANT BI-BLOC</w:t>
      </w:r>
    </w:p>
    <w:p w14:paraId="4FC56EC6" w14:textId="77777777" w:rsidR="00091960" w:rsidRPr="00091960" w:rsidRDefault="00091960" w:rsidP="00091960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091960">
        <w:rPr>
          <w:rFonts w:ascii="Arial" w:hAnsi="Arial" w:cs="Arial"/>
          <w:b/>
          <w:sz w:val="44"/>
          <w:szCs w:val="44"/>
          <w:lang w:val="fr-FR"/>
        </w:rPr>
        <w:t>WRH</w:t>
      </w:r>
    </w:p>
    <w:p w14:paraId="6437758C" w14:textId="77777777" w:rsidR="00091960" w:rsidRPr="00091960" w:rsidRDefault="00091960" w:rsidP="0009196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3EA570F9" w14:textId="77777777" w:rsidR="00091960" w:rsidRPr="00091960" w:rsidRDefault="00091960" w:rsidP="00091960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091960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6BEBD69F" w14:textId="77777777" w:rsidR="00091960" w:rsidRPr="00091960" w:rsidRDefault="00091960" w:rsidP="0009196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51958D9E" w14:textId="77777777" w:rsidR="00091960" w:rsidRPr="00091960" w:rsidRDefault="00091960" w:rsidP="00091960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sz w:val="22"/>
          <w:szCs w:val="22"/>
          <w:lang w:val="fr-FR"/>
        </w:rPr>
        <w:t xml:space="preserve">Tubes radiants gaz Haute Efficacité Version Economique de marque </w:t>
      </w:r>
      <w:r w:rsidRPr="00091960">
        <w:rPr>
          <w:rFonts w:ascii="Arial" w:hAnsi="Arial" w:cs="Arial"/>
          <w:b/>
          <w:sz w:val="22"/>
          <w:szCs w:val="22"/>
          <w:lang w:val="fr-FR"/>
        </w:rPr>
        <w:t xml:space="preserve">Gaz Industrie, </w:t>
      </w:r>
      <w:r w:rsidRPr="00091960">
        <w:rPr>
          <w:rFonts w:ascii="Arial" w:hAnsi="Arial" w:cs="Arial"/>
          <w:sz w:val="22"/>
          <w:szCs w:val="22"/>
          <w:lang w:val="fr-FR"/>
        </w:rPr>
        <w:t>modèles épingles bi-bloc :</w:t>
      </w:r>
    </w:p>
    <w:p w14:paraId="7166C9FA" w14:textId="77777777" w:rsidR="00091960" w:rsidRPr="00091960" w:rsidRDefault="00091960" w:rsidP="00091960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35"/>
        <w:gridCol w:w="1535"/>
        <w:gridCol w:w="1536"/>
        <w:gridCol w:w="1536"/>
      </w:tblGrid>
      <w:tr w:rsidR="00091960" w:rsidRPr="00091960" w14:paraId="3747F248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0F5F6506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59B34B8E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WRH17</w:t>
            </w:r>
          </w:p>
        </w:tc>
        <w:tc>
          <w:tcPr>
            <w:tcW w:w="1535" w:type="dxa"/>
            <w:shd w:val="clear" w:color="auto" w:fill="auto"/>
          </w:tcPr>
          <w:p w14:paraId="4E665F27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WRH21</w:t>
            </w:r>
          </w:p>
        </w:tc>
        <w:tc>
          <w:tcPr>
            <w:tcW w:w="1536" w:type="dxa"/>
            <w:shd w:val="clear" w:color="auto" w:fill="auto"/>
          </w:tcPr>
          <w:p w14:paraId="485D2978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WRH35</w:t>
            </w:r>
          </w:p>
        </w:tc>
        <w:tc>
          <w:tcPr>
            <w:tcW w:w="1536" w:type="dxa"/>
            <w:shd w:val="clear" w:color="auto" w:fill="auto"/>
          </w:tcPr>
          <w:p w14:paraId="390CB351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WRH45</w:t>
            </w:r>
          </w:p>
        </w:tc>
      </w:tr>
      <w:tr w:rsidR="00091960" w:rsidRPr="00091960" w14:paraId="19328DD2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5E269569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535" w:type="dxa"/>
            <w:shd w:val="clear" w:color="auto" w:fill="auto"/>
          </w:tcPr>
          <w:p w14:paraId="093ED482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16,5</w:t>
            </w:r>
          </w:p>
        </w:tc>
        <w:tc>
          <w:tcPr>
            <w:tcW w:w="1535" w:type="dxa"/>
            <w:shd w:val="clear" w:color="auto" w:fill="auto"/>
          </w:tcPr>
          <w:p w14:paraId="4A6B4044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21</w:t>
            </w:r>
          </w:p>
        </w:tc>
        <w:tc>
          <w:tcPr>
            <w:tcW w:w="1536" w:type="dxa"/>
            <w:shd w:val="clear" w:color="auto" w:fill="auto"/>
          </w:tcPr>
          <w:p w14:paraId="0F8D3DA8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35</w:t>
            </w:r>
          </w:p>
        </w:tc>
        <w:tc>
          <w:tcPr>
            <w:tcW w:w="1536" w:type="dxa"/>
            <w:shd w:val="clear" w:color="auto" w:fill="auto"/>
          </w:tcPr>
          <w:p w14:paraId="38831E6A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45</w:t>
            </w:r>
          </w:p>
        </w:tc>
      </w:tr>
      <w:tr w:rsidR="00091960" w:rsidRPr="00091960" w14:paraId="4DB4889D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43776570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535" w:type="dxa"/>
            <w:shd w:val="clear" w:color="auto" w:fill="auto"/>
          </w:tcPr>
          <w:p w14:paraId="567B63B6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14,68</w:t>
            </w:r>
          </w:p>
        </w:tc>
        <w:tc>
          <w:tcPr>
            <w:tcW w:w="1535" w:type="dxa"/>
            <w:shd w:val="clear" w:color="auto" w:fill="auto"/>
          </w:tcPr>
          <w:p w14:paraId="56AD17C8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18,69</w:t>
            </w:r>
          </w:p>
        </w:tc>
        <w:tc>
          <w:tcPr>
            <w:tcW w:w="1536" w:type="dxa"/>
            <w:shd w:val="clear" w:color="auto" w:fill="auto"/>
          </w:tcPr>
          <w:p w14:paraId="49762541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31,5</w:t>
            </w:r>
          </w:p>
        </w:tc>
        <w:tc>
          <w:tcPr>
            <w:tcW w:w="1536" w:type="dxa"/>
            <w:shd w:val="clear" w:color="auto" w:fill="auto"/>
          </w:tcPr>
          <w:p w14:paraId="54800109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40,5</w:t>
            </w:r>
          </w:p>
        </w:tc>
      </w:tr>
      <w:tr w:rsidR="00091960" w:rsidRPr="00091960" w14:paraId="11FCCB8A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21E9E0C7" w14:textId="77777777" w:rsidR="00091960" w:rsidRPr="00091960" w:rsidRDefault="00091960" w:rsidP="006E1428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535" w:type="dxa"/>
            <w:shd w:val="clear" w:color="auto" w:fill="auto"/>
          </w:tcPr>
          <w:p w14:paraId="246101CB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5" w:type="dxa"/>
            <w:shd w:val="clear" w:color="auto" w:fill="auto"/>
          </w:tcPr>
          <w:p w14:paraId="388E97DF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6" w:type="dxa"/>
            <w:shd w:val="clear" w:color="auto" w:fill="auto"/>
          </w:tcPr>
          <w:p w14:paraId="516518A8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6" w:type="dxa"/>
            <w:shd w:val="clear" w:color="auto" w:fill="auto"/>
          </w:tcPr>
          <w:p w14:paraId="2E6FCC49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</w:tr>
      <w:tr w:rsidR="00091960" w:rsidRPr="00091960" w14:paraId="47778FEF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2A191765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Facteur de rayonnement</w:t>
            </w:r>
          </w:p>
        </w:tc>
        <w:tc>
          <w:tcPr>
            <w:tcW w:w="1535" w:type="dxa"/>
            <w:shd w:val="clear" w:color="auto" w:fill="auto"/>
          </w:tcPr>
          <w:p w14:paraId="1FA34241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5" w:type="dxa"/>
            <w:shd w:val="clear" w:color="auto" w:fill="auto"/>
          </w:tcPr>
          <w:p w14:paraId="553172CE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6" w:type="dxa"/>
            <w:shd w:val="clear" w:color="auto" w:fill="auto"/>
          </w:tcPr>
          <w:p w14:paraId="650E35B4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6" w:type="dxa"/>
            <w:shd w:val="clear" w:color="auto" w:fill="auto"/>
          </w:tcPr>
          <w:p w14:paraId="6D2F37AB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</w:tr>
      <w:tr w:rsidR="00091960" w:rsidRPr="00091960" w14:paraId="5EE7CEC7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50D9A48E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535" w:type="dxa"/>
            <w:shd w:val="clear" w:color="auto" w:fill="auto"/>
          </w:tcPr>
          <w:p w14:paraId="488AC888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5" w:type="dxa"/>
            <w:shd w:val="clear" w:color="auto" w:fill="auto"/>
          </w:tcPr>
          <w:p w14:paraId="0F3BE74B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6" w:type="dxa"/>
            <w:shd w:val="clear" w:color="auto" w:fill="auto"/>
          </w:tcPr>
          <w:p w14:paraId="0824F294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6" w:type="dxa"/>
            <w:shd w:val="clear" w:color="auto" w:fill="auto"/>
          </w:tcPr>
          <w:p w14:paraId="0C7AD270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</w:tr>
      <w:tr w:rsidR="00091960" w:rsidRPr="00091960" w14:paraId="779BD41B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7DF49C0E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535" w:type="dxa"/>
            <w:shd w:val="clear" w:color="auto" w:fill="auto"/>
          </w:tcPr>
          <w:p w14:paraId="2C13B747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0B6AF1BE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20C8BC6C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4FF15021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</w:tr>
      <w:tr w:rsidR="00091960" w:rsidRPr="00091960" w14:paraId="3C00C1BA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30251302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6142" w:type="dxa"/>
            <w:gridSpan w:val="4"/>
            <w:shd w:val="clear" w:color="auto" w:fill="auto"/>
          </w:tcPr>
          <w:p w14:paraId="19570FAB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091960" w:rsidRPr="00091960" w14:paraId="35A751A0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0414D5AA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2E558D1C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14:paraId="23134769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120 VA / 80 VA</w:t>
            </w:r>
          </w:p>
        </w:tc>
      </w:tr>
      <w:tr w:rsidR="00091960" w:rsidRPr="00091960" w14:paraId="0EB8D97E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6EF32FBA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Longueur m</w:t>
            </w:r>
          </w:p>
        </w:tc>
        <w:tc>
          <w:tcPr>
            <w:tcW w:w="1535" w:type="dxa"/>
            <w:shd w:val="clear" w:color="auto" w:fill="auto"/>
          </w:tcPr>
          <w:p w14:paraId="027AF327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3,87</w:t>
            </w:r>
          </w:p>
        </w:tc>
        <w:tc>
          <w:tcPr>
            <w:tcW w:w="1535" w:type="dxa"/>
            <w:shd w:val="clear" w:color="auto" w:fill="auto"/>
          </w:tcPr>
          <w:p w14:paraId="41CEC6F5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5,03</w:t>
            </w:r>
          </w:p>
        </w:tc>
        <w:tc>
          <w:tcPr>
            <w:tcW w:w="1536" w:type="dxa"/>
            <w:shd w:val="clear" w:color="auto" w:fill="auto"/>
          </w:tcPr>
          <w:p w14:paraId="34B369CB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8,37</w:t>
            </w:r>
          </w:p>
        </w:tc>
        <w:tc>
          <w:tcPr>
            <w:tcW w:w="1536" w:type="dxa"/>
            <w:shd w:val="clear" w:color="auto" w:fill="auto"/>
          </w:tcPr>
          <w:p w14:paraId="61EE517B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10,72</w:t>
            </w:r>
          </w:p>
        </w:tc>
      </w:tr>
      <w:tr w:rsidR="00091960" w:rsidRPr="00091960" w14:paraId="0CE0037A" w14:textId="77777777" w:rsidTr="006E1428">
        <w:trPr>
          <w:trHeight w:val="283"/>
        </w:trPr>
        <w:tc>
          <w:tcPr>
            <w:tcW w:w="3794" w:type="dxa"/>
            <w:shd w:val="clear" w:color="auto" w:fill="auto"/>
          </w:tcPr>
          <w:p w14:paraId="647C6946" w14:textId="77777777" w:rsidR="00091960" w:rsidRPr="00091960" w:rsidRDefault="00091960" w:rsidP="006E14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535" w:type="dxa"/>
            <w:shd w:val="clear" w:color="auto" w:fill="auto"/>
          </w:tcPr>
          <w:p w14:paraId="13DF8C9B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61</w:t>
            </w:r>
          </w:p>
        </w:tc>
        <w:tc>
          <w:tcPr>
            <w:tcW w:w="1535" w:type="dxa"/>
            <w:shd w:val="clear" w:color="auto" w:fill="auto"/>
          </w:tcPr>
          <w:p w14:paraId="0221D88D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72</w:t>
            </w:r>
          </w:p>
        </w:tc>
        <w:tc>
          <w:tcPr>
            <w:tcW w:w="1536" w:type="dxa"/>
            <w:shd w:val="clear" w:color="auto" w:fill="auto"/>
          </w:tcPr>
          <w:p w14:paraId="677D3C36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120</w:t>
            </w:r>
          </w:p>
        </w:tc>
        <w:tc>
          <w:tcPr>
            <w:tcW w:w="1536" w:type="dxa"/>
            <w:shd w:val="clear" w:color="auto" w:fill="auto"/>
          </w:tcPr>
          <w:p w14:paraId="4A7BDD27" w14:textId="77777777" w:rsidR="00091960" w:rsidRPr="00091960" w:rsidRDefault="00091960" w:rsidP="006E14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1960">
              <w:rPr>
                <w:rFonts w:ascii="Arial" w:hAnsi="Arial" w:cs="Arial"/>
                <w:sz w:val="22"/>
                <w:szCs w:val="22"/>
                <w:lang w:val="fr-FR"/>
              </w:rPr>
              <w:t>159</w:t>
            </w:r>
          </w:p>
        </w:tc>
      </w:tr>
    </w:tbl>
    <w:p w14:paraId="08F21ECA" w14:textId="77777777" w:rsidR="00091960" w:rsidRPr="00091960" w:rsidRDefault="00091960" w:rsidP="00091960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4B93D917" w14:textId="77777777" w:rsidR="00091960" w:rsidRPr="00091960" w:rsidRDefault="00091960" w:rsidP="00091960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bookmarkStart w:id="1" w:name="_Hlk524362307"/>
      <w:r w:rsidRPr="00091960">
        <w:rPr>
          <w:rFonts w:ascii="Arial" w:hAnsi="Arial" w:cs="Arial"/>
          <w:sz w:val="22"/>
          <w:szCs w:val="22"/>
          <w:lang w:val="fr-FR"/>
        </w:rPr>
        <w:t xml:space="preserve">Les tubes radiants de marque </w:t>
      </w:r>
      <w:r w:rsidRPr="00091960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091960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&gt; à 85 %, un rendement saisonnier &gt; à 74% et un </w:t>
      </w:r>
      <w:r w:rsidRPr="00091960">
        <w:rPr>
          <w:rFonts w:ascii="Arial" w:hAnsi="Arial" w:cs="Arial"/>
          <w:sz w:val="22"/>
          <w:szCs w:val="22"/>
          <w:lang w:val="fr-FR" w:eastAsia="zh-CN"/>
        </w:rPr>
        <w:t>niveau maximum de NOx &lt;= 200 mg/kWh absorbé</w:t>
      </w:r>
      <w:r w:rsidRPr="00091960">
        <w:rPr>
          <w:rFonts w:ascii="Arial" w:hAnsi="Arial" w:cs="Arial"/>
          <w:sz w:val="22"/>
          <w:szCs w:val="22"/>
          <w:lang w:val="fr-FR"/>
        </w:rPr>
        <w:t>.</w:t>
      </w:r>
    </w:p>
    <w:p w14:paraId="01FC198E" w14:textId="77777777" w:rsidR="00091960" w:rsidRPr="00091960" w:rsidRDefault="00091960" w:rsidP="00091960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sz w:val="22"/>
          <w:szCs w:val="22"/>
          <w:lang w:val="fr-FR"/>
        </w:rPr>
        <w:t>Le facteur de rayonnement est calculé selon la norme EN 416-2.</w:t>
      </w:r>
    </w:p>
    <w:p w14:paraId="3F6D1A07" w14:textId="77777777" w:rsidR="00091960" w:rsidRPr="00091960" w:rsidRDefault="00091960" w:rsidP="00091960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78C5649" w14:textId="77777777" w:rsidR="00091960" w:rsidRPr="00091960" w:rsidRDefault="00091960" w:rsidP="00091960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 et fabriqués selon le système de management certifié ISO 9001.</w:t>
      </w:r>
    </w:p>
    <w:bookmarkEnd w:id="1"/>
    <w:p w14:paraId="3DD713E6" w14:textId="77777777" w:rsidR="00091960" w:rsidRPr="00091960" w:rsidRDefault="00091960" w:rsidP="00091960">
      <w:pPr>
        <w:rPr>
          <w:rFonts w:ascii="Arial" w:hAnsi="Arial" w:cs="Arial"/>
          <w:sz w:val="22"/>
          <w:szCs w:val="22"/>
          <w:lang w:val="fr-FR"/>
        </w:rPr>
      </w:pPr>
    </w:p>
    <w:p w14:paraId="7F232F2D" w14:textId="77777777" w:rsidR="00091960" w:rsidRPr="00091960" w:rsidRDefault="00091960" w:rsidP="0009196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b/>
          <w:sz w:val="22"/>
          <w:szCs w:val="22"/>
        </w:rPr>
        <w:t>Groupe fonctionnel</w:t>
      </w:r>
      <w:r w:rsidRPr="00091960">
        <w:rPr>
          <w:rFonts w:ascii="Arial" w:hAnsi="Arial" w:cs="Arial"/>
          <w:sz w:val="22"/>
          <w:szCs w:val="22"/>
        </w:rPr>
        <w:t xml:space="preserve"> sous capot de protection de couleur blanche RAL 9010, contenant les composants suivants :</w:t>
      </w:r>
    </w:p>
    <w:p w14:paraId="03D5BC46" w14:textId="77777777" w:rsidR="00091960" w:rsidRPr="00091960" w:rsidRDefault="00091960" w:rsidP="0009196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 xml:space="preserve">Bloc combiné comprenant : Electrovanne/Régulateur à double clapet de sécurité + Boîtier électronique débrochable </w:t>
      </w:r>
    </w:p>
    <w:p w14:paraId="39A484B3" w14:textId="77777777" w:rsidR="00091960" w:rsidRPr="00091960" w:rsidRDefault="00091960" w:rsidP="0009196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Brûleur venturi exclusif avec accroche-flamme et électrode incorporé. Produit une flamme très longue, centrée et une émission homogène.</w:t>
      </w:r>
    </w:p>
    <w:p w14:paraId="77839480" w14:textId="77777777" w:rsidR="00091960" w:rsidRPr="00091960" w:rsidRDefault="00091960" w:rsidP="0009196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Dispositif d’admission d’air comburant pour une utilisation éventuelle en type A, B ou C (ventouse murale ou toiture) selon l’application</w:t>
      </w:r>
    </w:p>
    <w:p w14:paraId="0DE4EBAA" w14:textId="77777777" w:rsidR="00091960" w:rsidRPr="00091960" w:rsidRDefault="00091960" w:rsidP="0009196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Pressostat différentiel de contrôle de la chambre de combustion.</w:t>
      </w:r>
    </w:p>
    <w:p w14:paraId="2231814C" w14:textId="77777777" w:rsidR="00091960" w:rsidRPr="00091960" w:rsidRDefault="00091960" w:rsidP="0009196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Voyants de fonctionnement visibles depuis le sol</w:t>
      </w:r>
    </w:p>
    <w:p w14:paraId="6039FE59" w14:textId="77777777" w:rsidR="00091960" w:rsidRPr="00091960" w:rsidRDefault="00091960" w:rsidP="00091960">
      <w:pPr>
        <w:pStyle w:val="BlockText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2BDF8FF3" w14:textId="77777777" w:rsidR="00091960" w:rsidRPr="00091960" w:rsidRDefault="00091960" w:rsidP="00091960">
      <w:pPr>
        <w:pStyle w:val="BlockText"/>
        <w:numPr>
          <w:ilvl w:val="0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b/>
          <w:sz w:val="22"/>
          <w:szCs w:val="22"/>
        </w:rPr>
        <w:t>Groupe moto-ventilateur</w:t>
      </w:r>
      <w:r w:rsidRPr="00091960">
        <w:rPr>
          <w:rFonts w:ascii="Arial" w:hAnsi="Arial"/>
          <w:sz w:val="22"/>
          <w:szCs w:val="22"/>
        </w:rPr>
        <w:t xml:space="preserve"> avec moteur à double ventilation (hélice avant et arrière), pour un refroidissement optimum.</w:t>
      </w:r>
    </w:p>
    <w:p w14:paraId="3AA21B2B" w14:textId="77777777" w:rsidR="00091960" w:rsidRPr="00091960" w:rsidRDefault="00091960" w:rsidP="0009196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Turbine d’extraction et axe en acier monté sur roulements à billes.</w:t>
      </w:r>
    </w:p>
    <w:p w14:paraId="3DF0E38E" w14:textId="44F6132B" w:rsidR="00091960" w:rsidRPr="00091960" w:rsidRDefault="00091960" w:rsidP="00220423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Dispositif d’évacuation des fumées de combustion pour une utilisation éventuelle en type A, B ou C (ventouse murale ou toiture) selon l’application.</w:t>
      </w:r>
      <w:r w:rsidRPr="00091960">
        <w:rPr>
          <w:rFonts w:ascii="Arial" w:hAnsi="Arial" w:cs="Arial"/>
          <w:sz w:val="22"/>
          <w:szCs w:val="22"/>
        </w:rPr>
        <w:br w:type="page"/>
      </w:r>
    </w:p>
    <w:p w14:paraId="5D56938E" w14:textId="77777777" w:rsidR="00091960" w:rsidRPr="00091960" w:rsidRDefault="00091960" w:rsidP="0009196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b/>
          <w:sz w:val="22"/>
          <w:szCs w:val="22"/>
        </w:rPr>
        <w:lastRenderedPageBreak/>
        <w:t>Pièces de fonderie</w:t>
      </w:r>
      <w:r w:rsidRPr="00091960">
        <w:rPr>
          <w:rFonts w:ascii="Arial" w:hAnsi="Arial" w:cs="Arial"/>
          <w:sz w:val="22"/>
          <w:szCs w:val="22"/>
        </w:rPr>
        <w:t xml:space="preserve"> en alliage d’aluminium assurant la fonction suivante :</w:t>
      </w:r>
    </w:p>
    <w:p w14:paraId="5D6787AD" w14:textId="77777777" w:rsidR="00091960" w:rsidRPr="00091960" w:rsidRDefault="00091960" w:rsidP="0009196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Liaison du groupe fonctionnel et de l’extracteur avec les tubes émetteurs.</w:t>
      </w:r>
    </w:p>
    <w:p w14:paraId="67CCD090" w14:textId="77777777" w:rsidR="00091960" w:rsidRPr="00091960" w:rsidRDefault="00091960" w:rsidP="00091960">
      <w:pPr>
        <w:pStyle w:val="BlockText"/>
        <w:tabs>
          <w:tab w:val="left" w:pos="1701"/>
        </w:tabs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376A008D" w14:textId="77777777" w:rsidR="00091960" w:rsidRPr="00091960" w:rsidRDefault="00091960" w:rsidP="0009196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b/>
          <w:sz w:val="22"/>
          <w:szCs w:val="22"/>
        </w:rPr>
        <w:t>Emetteur de chaleur</w:t>
      </w:r>
      <w:r w:rsidRPr="00091960">
        <w:rPr>
          <w:rFonts w:ascii="Arial" w:hAnsi="Arial" w:cs="Arial"/>
          <w:sz w:val="22"/>
          <w:szCs w:val="22"/>
        </w:rPr>
        <w:t xml:space="preserve"> comprenant : </w:t>
      </w:r>
    </w:p>
    <w:p w14:paraId="78A3EBB3" w14:textId="77777777" w:rsidR="00091960" w:rsidRPr="00091960" w:rsidRDefault="00091960" w:rsidP="00091960">
      <w:pPr>
        <w:pStyle w:val="BlockText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b/>
          <w:sz w:val="22"/>
          <w:szCs w:val="22"/>
        </w:rPr>
        <w:t>-</w:t>
      </w:r>
      <w:r w:rsidRPr="00091960">
        <w:rPr>
          <w:rFonts w:ascii="Arial" w:hAnsi="Arial" w:cs="Arial"/>
          <w:b/>
          <w:sz w:val="22"/>
          <w:szCs w:val="22"/>
        </w:rPr>
        <w:tab/>
        <w:t>Tubes</w:t>
      </w:r>
      <w:r w:rsidRPr="00091960">
        <w:rPr>
          <w:rFonts w:ascii="Arial" w:hAnsi="Arial" w:cs="Arial"/>
          <w:sz w:val="22"/>
          <w:szCs w:val="22"/>
        </w:rPr>
        <w:t xml:space="preserve"> en acier aluminié recuit résistant à une température de </w:t>
      </w:r>
      <w:smartTag w:uri="urn:schemas-microsoft-com:office:smarttags" w:element="metricconverter">
        <w:smartTagPr>
          <w:attr w:name="ProductID" w:val="700ﾰC"/>
        </w:smartTagPr>
        <w:r w:rsidRPr="00091960">
          <w:rPr>
            <w:rFonts w:ascii="Arial" w:hAnsi="Arial" w:cs="Arial"/>
            <w:sz w:val="22"/>
            <w:szCs w:val="22"/>
          </w:rPr>
          <w:t>700°C</w:t>
        </w:r>
      </w:smartTag>
      <w:r w:rsidRPr="00091960">
        <w:rPr>
          <w:rFonts w:ascii="Arial" w:hAnsi="Arial" w:cs="Arial"/>
          <w:sz w:val="22"/>
          <w:szCs w:val="22"/>
        </w:rPr>
        <w:t xml:space="preserve"> de :</w:t>
      </w:r>
    </w:p>
    <w:p w14:paraId="439620FF" w14:textId="77777777" w:rsidR="00091960" w:rsidRPr="00091960" w:rsidRDefault="00091960" w:rsidP="00091960">
      <w:pPr>
        <w:pStyle w:val="BlockText"/>
        <w:ind w:left="1080" w:right="141" w:firstLine="330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 xml:space="preserve">Ø extérieur </w:t>
      </w:r>
      <w:smartTag w:uri="urn:schemas-microsoft-com:office:smarttags" w:element="metricconverter">
        <w:smartTagPr>
          <w:attr w:name="ProductID" w:val="76.1 mm"/>
        </w:smartTagPr>
        <w:r w:rsidRPr="00091960">
          <w:rPr>
            <w:rFonts w:ascii="Arial" w:hAnsi="Arial" w:cs="Arial"/>
            <w:sz w:val="22"/>
            <w:szCs w:val="22"/>
          </w:rPr>
          <w:t>76.1 mm</w:t>
        </w:r>
      </w:smartTag>
      <w:r w:rsidRPr="00091960">
        <w:rPr>
          <w:rFonts w:ascii="Arial" w:hAnsi="Arial" w:cs="Arial"/>
          <w:sz w:val="22"/>
          <w:szCs w:val="22"/>
        </w:rPr>
        <w:t xml:space="preserve"> pour modèles WRH17 et WRH25</w:t>
      </w:r>
    </w:p>
    <w:p w14:paraId="717CB0EC" w14:textId="77777777" w:rsidR="00091960" w:rsidRPr="00091960" w:rsidRDefault="00091960" w:rsidP="00091960">
      <w:pPr>
        <w:pStyle w:val="BlockText"/>
        <w:ind w:left="939" w:right="141" w:firstLine="47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Ø extérieur 101,6 mm pour modèles WRH35 et WRH45</w:t>
      </w:r>
    </w:p>
    <w:p w14:paraId="579C4937" w14:textId="77777777" w:rsidR="00091960" w:rsidRPr="00091960" w:rsidRDefault="00091960" w:rsidP="00091960">
      <w:pPr>
        <w:pStyle w:val="BlockText"/>
        <w:ind w:left="1410"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Reliés entre eux par un coude en fonte démontable et dotés d’un dispositif d’optimisation d’échange de chaleur (turbulateurs).</w:t>
      </w:r>
    </w:p>
    <w:p w14:paraId="21B1AA02" w14:textId="77777777" w:rsidR="00091960" w:rsidRPr="00091960" w:rsidRDefault="00091960" w:rsidP="00091960">
      <w:pPr>
        <w:pStyle w:val="BlockText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-</w:t>
      </w:r>
      <w:r w:rsidRPr="00091960">
        <w:rPr>
          <w:rFonts w:ascii="Arial" w:hAnsi="Arial" w:cs="Arial"/>
          <w:b/>
          <w:sz w:val="22"/>
          <w:szCs w:val="22"/>
        </w:rPr>
        <w:tab/>
        <w:t>Réflecteur</w:t>
      </w:r>
      <w:r w:rsidRPr="00091960">
        <w:rPr>
          <w:rFonts w:ascii="Arial" w:hAnsi="Arial" w:cs="Arial"/>
          <w:sz w:val="22"/>
          <w:szCs w:val="22"/>
        </w:rPr>
        <w:t xml:space="preserve"> en acier aluminé à surface polie et multi facettes, avec profil à double cycloïde haute réflectivité.</w:t>
      </w:r>
    </w:p>
    <w:p w14:paraId="37D3DF33" w14:textId="77777777" w:rsidR="00091960" w:rsidRPr="00091960" w:rsidRDefault="00091960" w:rsidP="00091960">
      <w:pPr>
        <w:pStyle w:val="BlockText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56268483" w14:textId="77777777" w:rsidR="00091960" w:rsidRPr="00091960" w:rsidRDefault="00091960" w:rsidP="00091960">
      <w:pPr>
        <w:pStyle w:val="BlockText"/>
        <w:numPr>
          <w:ilvl w:val="0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b/>
          <w:sz w:val="22"/>
          <w:szCs w:val="22"/>
        </w:rPr>
        <w:t>Sécurité</w:t>
      </w:r>
      <w:r w:rsidRPr="00091960">
        <w:rPr>
          <w:rFonts w:ascii="Arial" w:hAnsi="Arial" w:cs="Arial"/>
          <w:sz w:val="22"/>
          <w:szCs w:val="22"/>
        </w:rPr>
        <w:t> : allumage électronique et contrôle de flamme (par courant d’ionisation) assurés par une mono-électrode solidaire du brûleur et garantissant la "compatibilité électromagnétique".</w:t>
      </w:r>
    </w:p>
    <w:p w14:paraId="1EB67F64" w14:textId="77777777" w:rsidR="00091960" w:rsidRPr="00091960" w:rsidRDefault="00091960" w:rsidP="00091960">
      <w:pPr>
        <w:pStyle w:val="BlockText"/>
        <w:ind w:right="141" w:firstLine="141"/>
        <w:jc w:val="left"/>
        <w:rPr>
          <w:rFonts w:ascii="Arial" w:hAnsi="Arial" w:cs="Arial"/>
          <w:sz w:val="22"/>
          <w:szCs w:val="22"/>
        </w:rPr>
      </w:pPr>
      <w:r w:rsidRPr="00091960">
        <w:rPr>
          <w:rFonts w:ascii="Arial" w:hAnsi="Arial" w:cs="Arial"/>
          <w:sz w:val="22"/>
          <w:szCs w:val="22"/>
        </w:rPr>
        <w:t>Contrôle permanent de la dépression dans le tube émetteur par pressostat différentiel.</w:t>
      </w:r>
    </w:p>
    <w:p w14:paraId="5A41E516" w14:textId="77777777" w:rsidR="00091960" w:rsidRPr="00091960" w:rsidRDefault="00091960" w:rsidP="00091960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2CFE5AF4" w14:textId="77777777" w:rsidR="00091960" w:rsidRPr="00091960" w:rsidRDefault="00091960" w:rsidP="00091960">
      <w:pPr>
        <w:numPr>
          <w:ilvl w:val="0"/>
          <w:numId w:val="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right="141" w:firstLine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b/>
          <w:sz w:val="22"/>
          <w:szCs w:val="22"/>
          <w:lang w:val="fr-FR"/>
        </w:rPr>
        <w:t>Système d’accrochage</w:t>
      </w:r>
      <w:r w:rsidRPr="00091960">
        <w:rPr>
          <w:rFonts w:ascii="Arial" w:hAnsi="Arial" w:cs="Arial"/>
          <w:sz w:val="22"/>
          <w:szCs w:val="22"/>
          <w:lang w:val="fr-FR"/>
        </w:rPr>
        <w:t> : mural ou suspendu</w:t>
      </w:r>
    </w:p>
    <w:p w14:paraId="34F413F0" w14:textId="77777777" w:rsidR="00091960" w:rsidRPr="00091960" w:rsidRDefault="00091960" w:rsidP="0009196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sz w:val="22"/>
          <w:szCs w:val="22"/>
          <w:lang w:val="fr-FR"/>
        </w:rPr>
        <w:t>WRH17 : 3 points obligatoires</w:t>
      </w:r>
    </w:p>
    <w:p w14:paraId="12ADBB1A" w14:textId="77777777" w:rsidR="00091960" w:rsidRPr="00091960" w:rsidRDefault="00091960" w:rsidP="0009196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sz w:val="22"/>
          <w:szCs w:val="22"/>
          <w:lang w:val="fr-FR"/>
        </w:rPr>
        <w:t>WRH25 : 3 points obligatoires</w:t>
      </w:r>
    </w:p>
    <w:p w14:paraId="2DEF90EA" w14:textId="77777777" w:rsidR="00091960" w:rsidRPr="00091960" w:rsidRDefault="00091960" w:rsidP="0009196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sz w:val="22"/>
          <w:szCs w:val="22"/>
          <w:lang w:val="fr-FR"/>
        </w:rPr>
        <w:t>WRH35 : 4 points obligatoires</w:t>
      </w:r>
    </w:p>
    <w:p w14:paraId="5A972AE3" w14:textId="77777777" w:rsidR="00091960" w:rsidRPr="00091960" w:rsidRDefault="00091960" w:rsidP="0009196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91960">
        <w:rPr>
          <w:rFonts w:ascii="Arial" w:hAnsi="Arial" w:cs="Arial"/>
          <w:sz w:val="22"/>
          <w:szCs w:val="22"/>
          <w:lang w:val="fr-FR"/>
        </w:rPr>
        <w:t>WRH45 : 5 points obligatoires</w:t>
      </w:r>
    </w:p>
    <w:p w14:paraId="335D4105" w14:textId="77777777" w:rsidR="00F11A3D" w:rsidRPr="00091960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091960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740D03CB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34653B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34653B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34653B">
      <w:rPr>
        <w:rFonts w:ascii="Arial" w:hAnsi="Arial" w:cs="Arial"/>
        <w:sz w:val="14"/>
        <w:lang w:val="fr-FR"/>
      </w:rPr>
      <w:t>235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34653B">
      <w:rPr>
        <w:rFonts w:ascii="Arial" w:hAnsi="Arial" w:cs="Arial"/>
        <w:sz w:val="14"/>
        <w:lang w:val="fr-FR"/>
      </w:rPr>
      <w:t xml:space="preserve"> B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E644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3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169977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91960"/>
    <w:rsid w:val="000A1F0C"/>
    <w:rsid w:val="000E573C"/>
    <w:rsid w:val="001618E5"/>
    <w:rsid w:val="00177237"/>
    <w:rsid w:val="0019266A"/>
    <w:rsid w:val="001A052A"/>
    <w:rsid w:val="001B49ED"/>
    <w:rsid w:val="001F151F"/>
    <w:rsid w:val="00220423"/>
    <w:rsid w:val="002875BD"/>
    <w:rsid w:val="002B69D5"/>
    <w:rsid w:val="002F6C50"/>
    <w:rsid w:val="00340968"/>
    <w:rsid w:val="003423D1"/>
    <w:rsid w:val="00342A7F"/>
    <w:rsid w:val="0034653B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customStyle="1" w:styleId="BlockText">
    <w:name w:val="Block Text"/>
    <w:basedOn w:val="Normal"/>
    <w:rsid w:val="00091960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13</cp:revision>
  <cp:lastPrinted>2015-02-20T19:46:00Z</cp:lastPrinted>
  <dcterms:created xsi:type="dcterms:W3CDTF">2023-11-22T10:45:00Z</dcterms:created>
  <dcterms:modified xsi:type="dcterms:W3CDTF">2023-11-30T08:24:00Z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